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Toponímia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 (com no </w:t>
      </w:r>
      <w:r w:rsidDel="00000000" w:rsidR="00000000" w:rsidRPr="00000000">
        <w:rPr>
          <w:sz w:val="18"/>
          <w:szCs w:val="18"/>
          <w:rtl w:val="0"/>
        </w:rPr>
        <w:t xml:space="preserve">mínimo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30 dias).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0.000.0000.00.0000.0000.0                                               Sequencial:                           </w:t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</w:t>
      </w:r>
    </w:p>
    <w:p w:rsidR="00000000" w:rsidDel="00000000" w:rsidP="00000000" w:rsidRDefault="00000000" w:rsidRPr="00000000" w14:paraId="00000027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qFormat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iBuvpeSeELoGx81tFfpmjBwFw==">AMUW2mXHB2pJg8peSV1u2gV55s1NN0gEwq+OLyUdY4qpVp0VQGHwOMsIbfOzeRHN6/hf2nl4i8IeXcMxAFgJ3IRPEseFNd3Xl6+WeTrLMmiFlo1QxCZLRrqYF6YttfIsqpRppWTSFpmg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2019-12-20T11:32:00Z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