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auto"/>
          <w:sz w:val="32"/>
          <w:szCs w:val="32"/>
          <w:lang w:val="pt-BR"/>
        </w:rPr>
      </w:pPr>
      <w:r>
        <w:rPr>
          <w:rFonts w:hint="default"/>
          <w:b/>
          <w:bCs/>
          <w:color w:val="auto"/>
          <w:sz w:val="32"/>
          <w:szCs w:val="32"/>
          <w:lang w:val="pt-BR"/>
        </w:rPr>
        <w:t>Manual de preenchimento do</w:t>
      </w:r>
    </w:p>
    <w:p>
      <w:pPr>
        <w:jc w:val="center"/>
        <w:rPr>
          <w:rFonts w:hint="default"/>
          <w:b/>
          <w:bCs/>
          <w:color w:val="auto"/>
          <w:sz w:val="32"/>
          <w:szCs w:val="32"/>
          <w:lang w:val="pt-BR"/>
        </w:rPr>
      </w:pPr>
      <w:r>
        <w:rPr>
          <w:rFonts w:hint="default"/>
          <w:b/>
          <w:bCs/>
          <w:color w:val="auto"/>
          <w:sz w:val="32"/>
          <w:szCs w:val="32"/>
          <w:lang w:val="pt-BR"/>
        </w:rPr>
        <w:t>Memorial Descritivo Ambiental Autodeclaratório</w:t>
      </w:r>
    </w:p>
    <w:p>
      <w:pPr>
        <w:jc w:val="center"/>
        <w:rPr>
          <w:rFonts w:hint="default"/>
          <w:b/>
          <w:bCs/>
          <w:color w:val="auto"/>
          <w:sz w:val="32"/>
          <w:szCs w:val="32"/>
          <w:lang w:val="pt-BR"/>
        </w:rPr>
      </w:pPr>
    </w:p>
    <w:p>
      <w:pPr>
        <w:jc w:val="left"/>
        <w:rPr>
          <w:rFonts w:hint="default"/>
          <w:b/>
          <w:bCs/>
          <w:color w:val="auto"/>
          <w:sz w:val="32"/>
          <w:szCs w:val="32"/>
          <w:lang w:val="pt-BR"/>
        </w:rPr>
      </w:pPr>
      <w:r>
        <w:rPr>
          <w:rFonts w:hint="default"/>
          <w:b/>
          <w:bCs/>
          <w:color w:val="auto"/>
          <w:sz w:val="32"/>
          <w:szCs w:val="32"/>
          <w:lang w:val="pt-BR"/>
        </w:rPr>
        <w:t>Tipo de licença: Licença Simplificada de Instalação e Operação</w:t>
      </w:r>
    </w:p>
    <w:p>
      <w:pPr>
        <w:jc w:val="both"/>
        <w:rPr>
          <w:rFonts w:hint="default"/>
          <w:color w:val="C00000"/>
          <w:lang w:val="pt-BR"/>
        </w:rPr>
      </w:pPr>
    </w:p>
    <w:p>
      <w:pPr>
        <w:ind w:firstLine="708" w:firstLine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Este documento foi elaborado para orientar e auxiliar os empreendedores que buscam a obtenção da Licença Simplificada através do procedimento autodeclaratório destinado àqueles empreendimentos enquadrados como de baixo risco e médio porte e os de médio risco e pequeno porte.</w:t>
      </w:r>
    </w:p>
    <w:p>
      <w:pPr>
        <w:jc w:val="both"/>
        <w:rPr>
          <w:rFonts w:hint="default"/>
          <w:lang w:val="pt-BR"/>
        </w:rPr>
      </w:pPr>
    </w:p>
    <w:p>
      <w:pPr>
        <w:ind w:firstLine="708" w:firstLineChars="0"/>
        <w:jc w:val="both"/>
        <w:rPr>
          <w:rFonts w:hint="default"/>
          <w:b w:val="0"/>
          <w:bCs w:val="0"/>
          <w:sz w:val="20"/>
          <w:szCs w:val="20"/>
          <w:lang w:val="pt-BR"/>
        </w:rPr>
      </w:pPr>
      <w:r>
        <w:rPr>
          <w:rFonts w:hint="default"/>
          <w:b w:val="0"/>
          <w:bCs w:val="0"/>
          <w:sz w:val="20"/>
          <w:szCs w:val="20"/>
          <w:lang w:val="pt-BR"/>
        </w:rPr>
        <w:t xml:space="preserve">O Memorial Descritivo Ambiental Autodeclaratório </w:t>
      </w:r>
      <w:r>
        <w:rPr>
          <w:rFonts w:hint="default"/>
          <w:lang w:val="pt-BR"/>
        </w:rPr>
        <w:t>desempenha um papel fundamental no processo de licenciamento, fornecendo informações detalhadas sobre a natureza e características das atividades a serem desenvolvidas a partir de</w:t>
      </w:r>
      <w:r>
        <w:rPr>
          <w:rFonts w:hint="default"/>
          <w:b w:val="0"/>
          <w:bCs w:val="0"/>
          <w:sz w:val="20"/>
          <w:szCs w:val="20"/>
          <w:lang w:val="pt-BR"/>
        </w:rPr>
        <w:t xml:space="preserve"> uma série de respostas pré-estabelecidas que são consideradas tecnicamente corretas para os aspectos ambientais relevantes do empreendimento. Essas respostas são baseadas em critérios técnicos e legislação ambiental vigente, garantindo que as atividades propostas estejam em conformidade com as normativas ambientais.</w:t>
      </w:r>
    </w:p>
    <w:p>
      <w:pPr>
        <w:jc w:val="both"/>
        <w:rPr>
          <w:rFonts w:hint="default"/>
          <w:b w:val="0"/>
          <w:bCs w:val="0"/>
          <w:lang w:val="pt-BR"/>
        </w:rPr>
      </w:pPr>
    </w:p>
    <w:p>
      <w:pPr>
        <w:ind w:firstLine="708" w:firstLineChars="0"/>
        <w:jc w:val="both"/>
        <w:rPr>
          <w:rFonts w:hint="default"/>
          <w:b w:val="0"/>
          <w:bCs w:val="0"/>
          <w:sz w:val="20"/>
          <w:szCs w:val="20"/>
          <w:lang w:val="pt-BR"/>
        </w:rPr>
      </w:pPr>
      <w:r>
        <w:rPr>
          <w:rFonts w:hint="default"/>
          <w:b w:val="0"/>
          <w:bCs w:val="0"/>
          <w:sz w:val="20"/>
          <w:szCs w:val="20"/>
          <w:lang w:val="pt-BR"/>
        </w:rPr>
        <w:t xml:space="preserve">Neste manual, você encontrará instruções claras e diretrizes detalhadas para o preenchimento correto do Memorial Descritivo Ambiental Autodeclaratório, garantindo que todas as informações necessárias sejam fornecidas de forma precisa e completa. </w:t>
      </w:r>
    </w:p>
    <w:p>
      <w:pPr>
        <w:ind w:firstLine="708" w:firstLineChars="0"/>
        <w:jc w:val="both"/>
        <w:rPr>
          <w:rFonts w:hint="default"/>
          <w:b w:val="0"/>
          <w:bCs w:val="0"/>
          <w:sz w:val="20"/>
          <w:szCs w:val="20"/>
          <w:lang w:val="pt-BR"/>
        </w:rPr>
      </w:pPr>
      <w:r>
        <w:rPr>
          <w:rFonts w:hint="default"/>
          <w:b w:val="0"/>
          <w:bCs w:val="0"/>
          <w:sz w:val="20"/>
          <w:szCs w:val="20"/>
          <w:lang w:val="pt-BR"/>
        </w:rPr>
        <w:t>Quando  o empreendimento não puder cumprir as opções disponíveis em qualquer ponto do memorial, é imprescindível buscar outro procedimento de licenciamento disponível.</w:t>
      </w:r>
    </w:p>
    <w:p>
      <w:pPr>
        <w:jc w:val="both"/>
        <w:rPr>
          <w:rFonts w:hint="default"/>
          <w:b w:val="0"/>
          <w:bCs w:val="0"/>
          <w:sz w:val="20"/>
          <w:szCs w:val="20"/>
          <w:lang w:val="pt-BR"/>
        </w:rPr>
      </w:pPr>
    </w:p>
    <w:p>
      <w:pPr>
        <w:jc w:val="center"/>
        <w:rPr>
          <w:rFonts w:hint="default"/>
          <w:b/>
          <w:bCs/>
          <w:sz w:val="20"/>
          <w:szCs w:val="20"/>
          <w:lang w:val="pt-BR"/>
        </w:rPr>
      </w:pPr>
      <w:r>
        <w:rPr>
          <w:rFonts w:hint="default"/>
          <w:b/>
          <w:bCs/>
          <w:sz w:val="20"/>
          <w:szCs w:val="20"/>
          <w:lang w:val="pt-BR"/>
        </w:rPr>
        <w:t>ORIENTAÇÕES PARA PREENCHIMENTO</w:t>
      </w:r>
    </w:p>
    <w:p>
      <w:pPr>
        <w:jc w:val="both"/>
        <w:rPr>
          <w:rFonts w:hint="default"/>
          <w:b w:val="0"/>
          <w:bCs w:val="0"/>
          <w:sz w:val="20"/>
          <w:szCs w:val="20"/>
          <w:lang w:val="pt-BR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b/>
          <w:bCs/>
          <w:color w:val="C00000"/>
          <w:sz w:val="20"/>
          <w:szCs w:val="20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sz w:val="20"/>
          <w:szCs w:val="20"/>
          <w:shd w:val="clear" w:color="auto" w:fill="auto"/>
          <w:lang w:val="pt-BR"/>
        </w:rPr>
        <w:t xml:space="preserve">IDENTIFICAÇÃO DO EMPREENDEDOR/EMPREENDIMENTO: 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b/>
          <w:bCs/>
          <w:lang w:val="pt-BR"/>
        </w:rPr>
      </w:pPr>
      <w:r>
        <w:rPr>
          <w:rFonts w:hint="default"/>
          <w:lang w:val="pt-BR"/>
        </w:rPr>
        <w:t>- Preenchimento obrigatório de todos os itens.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shd w:val="clear" w:color="auto" w:fill="auto"/>
          <w:lang w:val="pt-BR"/>
        </w:rPr>
        <w:t>IDENTIFICAÇÃO DO CONSTRUTOR: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 xml:space="preserve">- Preenchimento obrigatório de todos os itens, apenas quando o construtor não for o mesmo do empreendedor/empreendimento.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shd w:val="clear" w:color="auto" w:fill="auto"/>
          <w:lang w:val="pt-BR"/>
        </w:rPr>
        <w:t>DESCRIÇÃO DO EMPREENDIMENTO: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Descrever sucintamente as atividades a serem desenvolvidas no empreendimento..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Preenchimento obrigatório. Informar os CNAE’s das atividades efetivamente desenvolvidas e que serão objetos do licenciamento. Verificar se todos os CNAE’s informados estão enquadrados para licenciamento autodeclaratório, em função do porte do empreendimento conforme decreto 12.789/2023 de 20 de abril de 2023.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 xml:space="preserve">Marcar a opção do tipo do imóvel onde se desenvolverá a atividade. 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Preencher a área total construida do imóvel, após as obras.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Preencher a área total ocupada que a atividade do local é exercida. Devem ser consideradas também áreas utilizadas efetivamente para o desenvolvimento das atividades, ainda que não construídas ou  cobertas, como por exemplo: como pátios de manobras, depósito de materiais a céu aberto, áreas de mesa descobertas, etc. Não deve considerar a área de estacionamento.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Preencher a área total do lote, conforme projeto apresentado.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Informar área permeável do lote.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shd w:val="clear" w:color="auto" w:fill="auto"/>
          <w:lang w:val="pt-BR"/>
        </w:rPr>
        <w:t>CONSIDERAÇÕES INICIAIS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Marcar apenas o item que a obra se enquadra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 xml:space="preserve">A marcação desse item é condição obrigatória para o licenciamento Autodeclaratório. Caso o imóvel esteja localizado em alguma ZPA, ele não pode ser objeto deste procedimento, tendo que ser submetido à análise. 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lang w:val="pt-BR"/>
        </w:rPr>
        <w:t>A marcação desse item é condição obrigatória para o licenciamento Autodeclaratório. Caso o empreendimento constitua-se como de impacto no sistema de drenagem, nos termos da Lei Complementar nº 124/2011, ele não pode ser objeto deste procedimento, tendo que ser submetido à análise.</w:t>
      </w:r>
    </w:p>
    <w:p>
      <w:pPr>
        <w:numPr>
          <w:ilvl w:val="0"/>
          <w:numId w:val="1"/>
        </w:numPr>
        <w:shd w:val="clear"/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  <w:t>IMPACTOS GERADOS DURANTE A FASE DE INSTALAÇÃO</w:t>
      </w:r>
    </w:p>
    <w:p>
      <w:pPr>
        <w:numPr>
          <w:ilvl w:val="0"/>
          <w:numId w:val="4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listadas. Caso tenha poço, DEVE ser informado o número da outorga.</w:t>
      </w:r>
    </w:p>
    <w:p>
      <w:pPr>
        <w:numPr>
          <w:ilvl w:val="0"/>
          <w:numId w:val="4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4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pelo menos uma das opções listadas</w:t>
      </w:r>
    </w:p>
    <w:p>
      <w:pPr>
        <w:numPr>
          <w:ilvl w:val="0"/>
          <w:numId w:val="4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4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Marcação obrigatória</w:t>
      </w:r>
    </w:p>
    <w:p>
      <w:pPr>
        <w:numPr>
          <w:ilvl w:val="0"/>
          <w:numId w:val="4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apenas as opções dos resíduos que vão ser gerados, informando obrigatoriamente o quantitativo de cada um deles.</w:t>
      </w:r>
    </w:p>
    <w:p>
      <w:pPr>
        <w:numPr>
          <w:ilvl w:val="0"/>
          <w:numId w:val="4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 xml:space="preserve">Marcação obrigatória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  <w:t>IMPACTOS GERADOS DURANTE A FASE DE OPERAÇÃO</w:t>
      </w:r>
    </w:p>
    <w:p>
      <w:pPr>
        <w:numPr>
          <w:ilvl w:val="0"/>
          <w:numId w:val="5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listadas. Caso tenha poço, DEVE ser informado o número da outorga.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pelo menos uma das opções listadas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Marcar uma e apenas uma das opções listadas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 xml:space="preserve">Marcação obrigatória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</w:pPr>
      <w:r>
        <w:rPr>
          <w:rFonts w:hint="default"/>
          <w:b/>
          <w:bCs/>
          <w:color w:val="C00000"/>
          <w:highlight w:val="none"/>
          <w:shd w:val="clear" w:color="auto" w:fill="auto"/>
          <w:lang w:val="pt-BR"/>
        </w:rPr>
        <w:t>CONSIDERAÇÕES FINAIS/RESSALVAS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 xml:space="preserve">Marcação obrigatória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highlight w:val="yellow"/>
          <w:lang w:val="pt-BR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highlight w:val="yellow"/>
          <w:lang w:val="pt-BR"/>
        </w:rPr>
      </w:pPr>
    </w:p>
    <w:p>
      <w:pPr>
        <w:numPr>
          <w:ilvl w:val="0"/>
          <w:numId w:val="0"/>
        </w:numPr>
        <w:shd w:val="clear"/>
        <w:spacing w:line="360" w:lineRule="auto"/>
        <w:jc w:val="both"/>
        <w:rPr>
          <w:rFonts w:hint="default"/>
          <w:highlight w:val="none"/>
          <w:shd w:val="clear" w:color="auto" w:fill="auto"/>
          <w:lang w:val="pt-BR"/>
        </w:rPr>
      </w:pPr>
      <w:r>
        <w:rPr>
          <w:rFonts w:hint="default"/>
          <w:highlight w:val="none"/>
          <w:shd w:val="clear" w:color="auto" w:fill="auto"/>
          <w:lang w:val="pt-BR"/>
        </w:rPr>
        <w:t>Preencher obrigatoriamente a data e dados do empreendedor e profissional responsável pelo memorial</w:t>
      </w:r>
    </w:p>
    <w:sectPr>
      <w:headerReference r:id="rId3" w:type="default"/>
      <w:footerReference r:id="rId4" w:type="default"/>
      <w:pgSz w:w="11906" w:h="16838"/>
      <w:pgMar w:top="1440" w:right="13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252"/>
        <w:tab w:val="clear" w:pos="8504"/>
      </w:tabs>
      <w:bidi w:val="0"/>
      <w:jc w:val="left"/>
      <w:rPr>
        <w:rFonts w:hint="default" w:ascii="Calibri" w:hAnsi="Calibri" w:cs="Calibri"/>
        <w:sz w:val="16"/>
        <w:szCs w:val="16"/>
      </w:rPr>
    </w:pPr>
    <w:r>
      <w:rPr>
        <w:rFonts w:hint="default" w:ascii="Calibri" w:hAnsi="Calibri" w:cs="Calibri"/>
        <w:sz w:val="16"/>
        <w:szCs w:val="16"/>
      </w:rPr>
      <w:t>Avenida Nevaldo Rocha, 4665, Tirol – Natal/RN – CEP.: 59.015-450 – Tel. 3616-9809</w:t>
    </w:r>
  </w:p>
  <w:p>
    <w:pPr>
      <w:pStyle w:val="5"/>
      <w:tabs>
        <w:tab w:val="clear" w:pos="4252"/>
        <w:tab w:val="clear" w:pos="8504"/>
      </w:tabs>
      <w:bidi w:val="0"/>
      <w:jc w:val="left"/>
    </w:pPr>
    <w:r>
      <w:rPr>
        <w:rFonts w:hint="default" w:ascii="Calibri" w:hAnsi="Calibri" w:cs="Calibri"/>
        <w:sz w:val="16"/>
        <w:szCs w:val="16"/>
      </w:rPr>
      <w:t>E-mail:</w:t>
    </w:r>
    <w:r>
      <w:rPr>
        <w:rFonts w:hint="default" w:ascii="Calibri" w:hAnsi="Calibri" w:cs="Calibri"/>
        <w:sz w:val="16"/>
        <w:szCs w:val="16"/>
        <w:lang w:val="pt-BR"/>
      </w:rPr>
      <w:t xml:space="preserve"> contato.semurb@gmail.com</w:t>
    </w:r>
    <w:r>
      <w:rPr>
        <w:rFonts w:hint="default" w:ascii="Calibri" w:hAnsi="Calibri" w:cs="Calibri"/>
        <w:sz w:val="16"/>
        <w:szCs w:val="16"/>
      </w:rPr>
      <w:t xml:space="preserve"> www.natal.rn.gov.br/semurb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1032" w:leftChars="515" w:hanging="2"/>
      <w:rPr>
        <w:b/>
        <w:color w:val="000000"/>
        <w:sz w:val="16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42545</wp:posOffset>
          </wp:positionH>
          <wp:positionV relativeFrom="paragraph">
            <wp:posOffset>635</wp:posOffset>
          </wp:positionV>
          <wp:extent cx="2328545" cy="849630"/>
          <wp:effectExtent l="0" t="0" r="14605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rcRect l="-31" t="-110" r="-31" b="-110"/>
                  <a:stretch>
                    <a:fillRect/>
                  </a:stretch>
                </pic:blipFill>
                <pic:spPr>
                  <a:xfrm>
                    <a:off x="0" y="0"/>
                    <a:ext cx="2328545" cy="849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spacing w:after="0" w:line="240" w:lineRule="auto"/>
      <w:ind w:left="1032" w:leftChars="515" w:hanging="2"/>
      <w:rPr>
        <w:rFonts w:hint="default"/>
        <w:b w:val="0"/>
        <w:bCs/>
        <w:i w:val="0"/>
        <w:iCs w:val="0"/>
        <w:color w:val="E7E6E6" w:themeColor="background2"/>
        <w:sz w:val="16"/>
        <w:lang w:val="pt-BR"/>
        <w14:textFill>
          <w14:solidFill>
            <w14:schemeClr w14:val="bg2"/>
          </w14:solidFill>
        </w14:textFill>
      </w:rPr>
    </w:pPr>
    <w:r>
      <w:rPr>
        <w:rFonts w:hint="default"/>
        <w:b/>
        <w:color w:val="000000"/>
        <w:sz w:val="16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hint="default"/>
        <w:b w:val="0"/>
        <w:bCs/>
        <w:i/>
        <w:iCs/>
        <w:color w:val="000000"/>
        <w:sz w:val="16"/>
        <w:lang w:val="pt-BR"/>
      </w:rPr>
      <w:t xml:space="preserve">  </w:t>
    </w:r>
    <w:r>
      <w:rPr>
        <w:rFonts w:hint="default"/>
        <w:b w:val="0"/>
        <w:bCs/>
        <w:i w:val="0"/>
        <w:iCs w:val="0"/>
        <w:color w:val="E7E6E6" w:themeColor="background2"/>
        <w:sz w:val="16"/>
        <w:lang w:val="pt-BR"/>
        <w14:textFill>
          <w14:solidFill>
            <w14:schemeClr w14:val="bg2"/>
          </w14:solidFill>
        </w14:textFill>
      </w:rPr>
      <w:t xml:space="preserve"> </w:t>
    </w:r>
    <w:r>
      <w:rPr>
        <w:b/>
        <w:color w:val="000000"/>
        <w:sz w:val="26"/>
      </w:rPr>
      <w:t xml:space="preserve"> </w:t>
    </w:r>
    <w:r>
      <w:rPr>
        <w:rFonts w:hint="default"/>
        <w:b/>
        <w:color w:val="D0CECE" w:themeColor="background2" w:themeShade="E6"/>
        <w:sz w:val="16"/>
        <w:szCs w:val="16"/>
        <w:lang w:val="pt-BR"/>
      </w:rPr>
      <w:t>20-03-24</w:t>
    </w:r>
  </w:p>
  <w:p>
    <w:pPr>
      <w:spacing w:after="0" w:line="240" w:lineRule="auto"/>
      <w:ind w:left="1032" w:leftChars="515" w:hanging="2"/>
      <w:rPr>
        <w:b/>
        <w:color w:val="000000"/>
        <w:sz w:val="16"/>
      </w:rPr>
    </w:pPr>
  </w:p>
  <w:p>
    <w:pPr>
      <w:spacing w:after="0" w:line="240" w:lineRule="auto"/>
      <w:ind w:left="1032" w:leftChars="515" w:hanging="2"/>
      <w:rPr>
        <w:rFonts w:hint="default"/>
        <w:b/>
        <w:i/>
        <w:iCs/>
        <w:color w:val="000000"/>
        <w:sz w:val="16"/>
        <w:lang w:val="pt-BR"/>
      </w:rPr>
    </w:pPr>
  </w:p>
  <w:p>
    <w:pPr>
      <w:spacing w:after="0" w:line="240" w:lineRule="auto"/>
      <w:ind w:left="1032" w:leftChars="515" w:hanging="2"/>
      <w:rPr>
        <w:b/>
        <w:color w:val="000000"/>
        <w:sz w:val="16"/>
      </w:rPr>
    </w:pPr>
  </w:p>
  <w:p>
    <w:pPr>
      <w:spacing w:after="0" w:line="240" w:lineRule="auto"/>
      <w:ind w:left="1032" w:leftChars="515" w:hanging="2"/>
      <w:rPr>
        <w:b/>
        <w:color w:val="000000"/>
        <w:sz w:val="16"/>
      </w:rPr>
    </w:pPr>
  </w:p>
  <w:p>
    <w:pPr>
      <w:spacing w:after="0" w:line="240" w:lineRule="auto"/>
      <w:ind w:left="1032" w:leftChars="515" w:hanging="2"/>
      <w:rPr>
        <w:b/>
        <w:color w:val="000000"/>
        <w:sz w:val="16"/>
      </w:rPr>
    </w:pPr>
  </w:p>
  <w:p>
    <w:pPr>
      <w:spacing w:after="0" w:line="240" w:lineRule="auto"/>
      <w:rPr>
        <w:b/>
        <w:color w:val="000000"/>
        <w:sz w:val="16"/>
      </w:rPr>
    </w:pPr>
    <w:r>
      <w:rPr>
        <w:b/>
        <w:color w:val="000000"/>
        <w:sz w:val="16"/>
      </w:rPr>
      <w:t>SECRETARIA ADJUNTA DE FISCALIZAÇÃO E LICENCIAMENTO – DEPARTAMENTO DE LICENCIAMENTO DE OBRAS E SERVIÇOS</w:t>
    </w:r>
  </w:p>
  <w:p>
    <w:pPr>
      <w:spacing w:after="0" w:line="240" w:lineRule="auto"/>
      <w:rPr>
        <w:b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926492"/>
    <w:multiLevelType w:val="singleLevel"/>
    <w:tmpl w:val="B1926492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6261CAB6"/>
    <w:multiLevelType w:val="singleLevel"/>
    <w:tmpl w:val="6261CAB6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6CEDBD3F"/>
    <w:multiLevelType w:val="singleLevel"/>
    <w:tmpl w:val="6CEDBD3F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728F1A15"/>
    <w:multiLevelType w:val="singleLevel"/>
    <w:tmpl w:val="728F1A15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7C2D22E1"/>
    <w:multiLevelType w:val="singleLevel"/>
    <w:tmpl w:val="7C2D22E1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Fpd+zLn+GuY1S4SLUxEhz2lqE5w=" w:salt="ZIy1118QKXo4lA92NH7/YA==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1552E"/>
    <w:rsid w:val="01A1552E"/>
    <w:rsid w:val="02592374"/>
    <w:rsid w:val="09717A2B"/>
    <w:rsid w:val="0D1A1766"/>
    <w:rsid w:val="121D2C64"/>
    <w:rsid w:val="1396366E"/>
    <w:rsid w:val="1F2D3740"/>
    <w:rsid w:val="217D4D9E"/>
    <w:rsid w:val="29703508"/>
    <w:rsid w:val="34BB39E8"/>
    <w:rsid w:val="61B7021B"/>
    <w:rsid w:val="69A3175E"/>
    <w:rsid w:val="6DA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6"/>
    <w:qFormat/>
    <w:uiPriority w:val="0"/>
    <w:pPr>
      <w:tabs>
        <w:tab w:val="center" w:pos="4252"/>
        <w:tab w:val="center" w:pos="4819"/>
        <w:tab w:val="right" w:pos="8504"/>
        <w:tab w:val="right" w:pos="9638"/>
      </w:tabs>
    </w:pPr>
  </w:style>
  <w:style w:type="paragraph" w:customStyle="1" w:styleId="6">
    <w:name w:val="Cabeçalho e Rodapé"/>
    <w:basedOn w:val="1"/>
    <w:qFormat/>
    <w:uiPriority w:val="6"/>
    <w:pPr>
      <w:suppressLineNumbers/>
      <w:tabs>
        <w:tab w:val="center" w:pos="4819"/>
        <w:tab w:val="right" w:pos="9638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2024-03-14T12:13:00Z</dcterms:created>
  <dc:creator>Joao Pedro Benfica Alves</dc:creator>
  <cp:lastModifiedBy>Joao Pedro Benfica Alves</cp:lastModifiedBy>
  <dcterms:modified xsi:type="dcterms:W3CDTF">2024-03-20T14:59:37Z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6336F914E2424F138C08A7C77890DD00_13</vt:lpwstr>
  </property>
</Properties>
</file>